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0FEC" w14:textId="77777777" w:rsidR="0010446F" w:rsidRPr="00D56A7A" w:rsidRDefault="0010446F" w:rsidP="0010446F">
      <w:pPr>
        <w:autoSpaceDE w:val="0"/>
        <w:autoSpaceDN w:val="0"/>
        <w:adjustRightInd w:val="0"/>
        <w:spacing w:after="0" w:line="240" w:lineRule="auto"/>
        <w:rPr>
          <w:rFonts w:ascii="Arial" w:hAnsi="Arial" w:cs="Arial"/>
          <w:b/>
          <w:bCs/>
          <w:color w:val="404040"/>
          <w:sz w:val="20"/>
          <w:szCs w:val="20"/>
        </w:rPr>
      </w:pPr>
      <w:r w:rsidRPr="00D56A7A">
        <w:rPr>
          <w:rFonts w:ascii="Arial" w:hAnsi="Arial" w:cs="Arial"/>
          <w:b/>
          <w:bCs/>
          <w:noProof/>
          <w:color w:val="404040"/>
          <w:sz w:val="20"/>
          <w:szCs w:val="20"/>
          <w:lang w:eastAsia="es-MX"/>
        </w:rPr>
        <w:drawing>
          <wp:inline distT="0" distB="0" distL="0" distR="0" wp14:anchorId="2A509FC1" wp14:editId="44AFF6C3">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5652" cy="405385"/>
                    </a:xfrm>
                    <a:prstGeom prst="rect">
                      <a:avLst/>
                    </a:prstGeom>
                  </pic:spPr>
                </pic:pic>
              </a:graphicData>
            </a:graphic>
          </wp:inline>
        </w:drawing>
      </w:r>
    </w:p>
    <w:p w14:paraId="68E3AACC" w14:textId="77777777" w:rsidR="0010446F" w:rsidRPr="00D56A7A" w:rsidRDefault="00876A27" w:rsidP="0010446F">
      <w:pPr>
        <w:autoSpaceDE w:val="0"/>
        <w:autoSpaceDN w:val="0"/>
        <w:adjustRightInd w:val="0"/>
        <w:spacing w:after="0" w:line="240" w:lineRule="auto"/>
        <w:rPr>
          <w:rFonts w:ascii="Arial" w:hAnsi="Arial" w:cs="Arial"/>
          <w:b/>
          <w:bCs/>
          <w:color w:val="404040"/>
          <w:sz w:val="20"/>
          <w:szCs w:val="20"/>
        </w:rPr>
      </w:pPr>
      <w:r>
        <w:rPr>
          <w:rFonts w:ascii="Arial" w:hAnsi="Arial" w:cs="Arial"/>
          <w:b/>
          <w:bCs/>
          <w:color w:val="404040"/>
          <w:sz w:val="20"/>
          <w:szCs w:val="20"/>
        </w:rPr>
        <w:t xml:space="preserve">Nombre: </w:t>
      </w:r>
      <w:proofErr w:type="spellStart"/>
      <w:r>
        <w:rPr>
          <w:rFonts w:ascii="Arial" w:hAnsi="Arial" w:cs="Arial"/>
          <w:b/>
          <w:bCs/>
          <w:color w:val="404040"/>
          <w:sz w:val="20"/>
          <w:szCs w:val="20"/>
        </w:rPr>
        <w:t>Anileydi</w:t>
      </w:r>
      <w:proofErr w:type="spellEnd"/>
      <w:r>
        <w:rPr>
          <w:rFonts w:ascii="Arial" w:hAnsi="Arial" w:cs="Arial"/>
          <w:b/>
          <w:bCs/>
          <w:color w:val="404040"/>
          <w:sz w:val="20"/>
          <w:szCs w:val="20"/>
        </w:rPr>
        <w:t xml:space="preserve"> </w:t>
      </w:r>
      <w:proofErr w:type="spellStart"/>
      <w:r>
        <w:rPr>
          <w:rFonts w:ascii="Arial" w:hAnsi="Arial" w:cs="Arial"/>
          <w:b/>
          <w:bCs/>
          <w:color w:val="404040"/>
          <w:sz w:val="20"/>
          <w:szCs w:val="20"/>
        </w:rPr>
        <w:t>Garcia</w:t>
      </w:r>
      <w:proofErr w:type="spellEnd"/>
      <w:r>
        <w:rPr>
          <w:rFonts w:ascii="Arial" w:hAnsi="Arial" w:cs="Arial"/>
          <w:b/>
          <w:bCs/>
          <w:color w:val="404040"/>
          <w:sz w:val="20"/>
          <w:szCs w:val="20"/>
        </w:rPr>
        <w:t xml:space="preserve"> </w:t>
      </w:r>
      <w:proofErr w:type="spellStart"/>
      <w:r>
        <w:rPr>
          <w:rFonts w:ascii="Arial" w:hAnsi="Arial" w:cs="Arial"/>
          <w:b/>
          <w:bCs/>
          <w:color w:val="404040"/>
          <w:sz w:val="20"/>
          <w:szCs w:val="20"/>
        </w:rPr>
        <w:t>Hernandez</w:t>
      </w:r>
      <w:proofErr w:type="spellEnd"/>
    </w:p>
    <w:p w14:paraId="011C3AB1" w14:textId="77777777" w:rsidR="0010446F" w:rsidRPr="00D56A7A" w:rsidRDefault="0010446F" w:rsidP="0010446F">
      <w:pPr>
        <w:autoSpaceDE w:val="0"/>
        <w:autoSpaceDN w:val="0"/>
        <w:adjustRightInd w:val="0"/>
        <w:spacing w:after="0" w:line="240" w:lineRule="auto"/>
        <w:rPr>
          <w:rFonts w:ascii="Arial" w:hAnsi="Arial" w:cs="Arial"/>
          <w:b/>
          <w:bCs/>
          <w:color w:val="404040"/>
          <w:sz w:val="20"/>
          <w:szCs w:val="20"/>
        </w:rPr>
      </w:pPr>
    </w:p>
    <w:p w14:paraId="33043EF7" w14:textId="77777777" w:rsidR="0010446F" w:rsidRPr="00D56A7A" w:rsidRDefault="0010446F" w:rsidP="0010446F">
      <w:pPr>
        <w:autoSpaceDE w:val="0"/>
        <w:autoSpaceDN w:val="0"/>
        <w:adjustRightInd w:val="0"/>
        <w:spacing w:after="0" w:line="240" w:lineRule="auto"/>
        <w:rPr>
          <w:rFonts w:ascii="Arial" w:hAnsi="Arial" w:cs="Arial"/>
          <w:color w:val="404040"/>
          <w:sz w:val="20"/>
          <w:szCs w:val="20"/>
        </w:rPr>
      </w:pPr>
      <w:r w:rsidRPr="00D56A7A">
        <w:rPr>
          <w:rFonts w:ascii="Arial" w:hAnsi="Arial" w:cs="Arial"/>
          <w:b/>
          <w:bCs/>
          <w:color w:val="404040"/>
          <w:sz w:val="20"/>
          <w:szCs w:val="20"/>
        </w:rPr>
        <w:t>Grado de Escolaridad</w:t>
      </w:r>
      <w:r w:rsidR="00876A27">
        <w:rPr>
          <w:rFonts w:ascii="Arial" w:hAnsi="Arial" w:cs="Arial"/>
          <w:b/>
          <w:bCs/>
          <w:color w:val="404040"/>
          <w:sz w:val="20"/>
          <w:szCs w:val="20"/>
        </w:rPr>
        <w:t>: Licenciatura</w:t>
      </w:r>
    </w:p>
    <w:p w14:paraId="44F05915" w14:textId="77777777" w:rsidR="0010446F" w:rsidRPr="00D56A7A" w:rsidRDefault="0010446F" w:rsidP="0010446F">
      <w:pPr>
        <w:autoSpaceDE w:val="0"/>
        <w:autoSpaceDN w:val="0"/>
        <w:adjustRightInd w:val="0"/>
        <w:spacing w:after="0" w:line="240" w:lineRule="auto"/>
        <w:rPr>
          <w:rFonts w:ascii="Arial" w:hAnsi="Arial" w:cs="Arial"/>
          <w:b/>
          <w:bCs/>
          <w:color w:val="404040"/>
          <w:sz w:val="20"/>
          <w:szCs w:val="20"/>
        </w:rPr>
      </w:pPr>
    </w:p>
    <w:p w14:paraId="53964751" w14:textId="77777777" w:rsidR="00876A27" w:rsidRPr="008B7205" w:rsidRDefault="00876A27" w:rsidP="00876A27">
      <w:pPr>
        <w:autoSpaceDE w:val="0"/>
        <w:autoSpaceDN w:val="0"/>
        <w:adjustRightInd w:val="0"/>
        <w:spacing w:after="0"/>
        <w:rPr>
          <w:rFonts w:ascii="Arial" w:hAnsi="Arial" w:cs="Arial"/>
          <w:bCs/>
          <w:color w:val="171717" w:themeColor="background2" w:themeShade="1A"/>
        </w:rPr>
      </w:pPr>
      <w:r>
        <w:rPr>
          <w:rFonts w:ascii="Arial" w:hAnsi="Arial" w:cs="Arial"/>
          <w:b/>
          <w:bCs/>
          <w:color w:val="404040"/>
          <w:sz w:val="20"/>
          <w:szCs w:val="20"/>
        </w:rPr>
        <w:t xml:space="preserve">Cédula Profesional: </w:t>
      </w:r>
      <w:r w:rsidRPr="008B7205">
        <w:rPr>
          <w:rFonts w:ascii="Arial" w:hAnsi="Arial" w:cs="Arial"/>
          <w:bCs/>
          <w:color w:val="171717" w:themeColor="background2" w:themeShade="1A"/>
        </w:rPr>
        <w:t>13026074</w:t>
      </w:r>
    </w:p>
    <w:p w14:paraId="473AD7ED" w14:textId="77777777" w:rsidR="0010446F" w:rsidRDefault="0010446F" w:rsidP="0010446F">
      <w:pPr>
        <w:autoSpaceDE w:val="0"/>
        <w:autoSpaceDN w:val="0"/>
        <w:adjustRightInd w:val="0"/>
        <w:spacing w:after="0" w:line="240" w:lineRule="auto"/>
        <w:rPr>
          <w:rFonts w:ascii="Arial" w:hAnsi="Arial" w:cs="Arial"/>
          <w:b/>
          <w:bCs/>
          <w:color w:val="404040"/>
          <w:sz w:val="20"/>
          <w:szCs w:val="20"/>
        </w:rPr>
      </w:pPr>
    </w:p>
    <w:p w14:paraId="377A6F59" w14:textId="77777777" w:rsidR="0010446F" w:rsidRPr="00D56A7A" w:rsidRDefault="00876A27" w:rsidP="0010446F">
      <w:pPr>
        <w:autoSpaceDE w:val="0"/>
        <w:autoSpaceDN w:val="0"/>
        <w:adjustRightInd w:val="0"/>
        <w:spacing w:after="0" w:line="240" w:lineRule="auto"/>
        <w:rPr>
          <w:rFonts w:ascii="Arial" w:hAnsi="Arial" w:cs="Arial"/>
          <w:color w:val="404040"/>
          <w:sz w:val="20"/>
          <w:szCs w:val="20"/>
        </w:rPr>
      </w:pPr>
      <w:r>
        <w:rPr>
          <w:rFonts w:ascii="Arial" w:hAnsi="Arial" w:cs="Arial"/>
          <w:b/>
          <w:bCs/>
          <w:color w:val="404040"/>
          <w:sz w:val="20"/>
          <w:szCs w:val="20"/>
        </w:rPr>
        <w:t>Teléfono: 783 83 4 12 11</w:t>
      </w:r>
    </w:p>
    <w:p w14:paraId="6F0E7169" w14:textId="77777777" w:rsidR="0010446F" w:rsidRPr="00D56A7A" w:rsidRDefault="0010446F" w:rsidP="0010446F">
      <w:pPr>
        <w:autoSpaceDE w:val="0"/>
        <w:autoSpaceDN w:val="0"/>
        <w:adjustRightInd w:val="0"/>
        <w:spacing w:after="0" w:line="240" w:lineRule="auto"/>
        <w:rPr>
          <w:rFonts w:ascii="Arial" w:hAnsi="Arial" w:cs="Arial"/>
          <w:b/>
          <w:bCs/>
          <w:color w:val="404040"/>
          <w:sz w:val="20"/>
          <w:szCs w:val="20"/>
        </w:rPr>
      </w:pPr>
    </w:p>
    <w:p w14:paraId="1821BF4F" w14:textId="77777777" w:rsidR="0010446F" w:rsidRPr="00D56A7A" w:rsidRDefault="0010446F" w:rsidP="0010446F">
      <w:pPr>
        <w:autoSpaceDE w:val="0"/>
        <w:autoSpaceDN w:val="0"/>
        <w:adjustRightInd w:val="0"/>
        <w:spacing w:after="0" w:line="240" w:lineRule="auto"/>
        <w:rPr>
          <w:rFonts w:ascii="Arial" w:hAnsi="Arial" w:cs="Arial"/>
          <w:color w:val="404040"/>
          <w:sz w:val="20"/>
          <w:szCs w:val="20"/>
        </w:rPr>
      </w:pPr>
      <w:r w:rsidRPr="00D56A7A">
        <w:rPr>
          <w:rFonts w:ascii="Arial" w:hAnsi="Arial" w:cs="Arial"/>
          <w:b/>
          <w:bCs/>
          <w:color w:val="404040"/>
          <w:sz w:val="20"/>
          <w:szCs w:val="20"/>
        </w:rPr>
        <w:t xml:space="preserve">Correo </w:t>
      </w:r>
      <w:r w:rsidR="00B22B13" w:rsidRPr="00D56A7A">
        <w:rPr>
          <w:rFonts w:ascii="Arial" w:hAnsi="Arial" w:cs="Arial"/>
          <w:b/>
          <w:bCs/>
          <w:color w:val="404040"/>
          <w:sz w:val="20"/>
          <w:szCs w:val="20"/>
        </w:rPr>
        <w:t>Electr</w:t>
      </w:r>
      <w:r w:rsidR="00B22B13">
        <w:rPr>
          <w:rFonts w:ascii="Arial" w:hAnsi="Arial" w:cs="Arial"/>
          <w:b/>
          <w:bCs/>
          <w:color w:val="404040"/>
          <w:sz w:val="20"/>
          <w:szCs w:val="20"/>
        </w:rPr>
        <w:t>ónico</w:t>
      </w:r>
      <w:r w:rsidR="00876A27">
        <w:rPr>
          <w:rFonts w:ascii="Arial" w:hAnsi="Arial" w:cs="Arial"/>
          <w:b/>
          <w:bCs/>
          <w:color w:val="404040"/>
          <w:sz w:val="20"/>
          <w:szCs w:val="20"/>
        </w:rPr>
        <w:t>: agarciah@fiscaliaveracruz.gob.mx</w:t>
      </w:r>
    </w:p>
    <w:p w14:paraId="61B4FE68" w14:textId="77777777" w:rsidR="0010446F" w:rsidRPr="00D56A7A" w:rsidRDefault="0010446F" w:rsidP="0010446F">
      <w:pPr>
        <w:autoSpaceDE w:val="0"/>
        <w:autoSpaceDN w:val="0"/>
        <w:adjustRightInd w:val="0"/>
        <w:spacing w:after="0" w:line="240" w:lineRule="auto"/>
        <w:rPr>
          <w:rFonts w:ascii="Arial" w:hAnsi="Arial" w:cs="Arial"/>
          <w:b/>
          <w:bCs/>
          <w:color w:val="FFFFFF"/>
          <w:sz w:val="24"/>
          <w:szCs w:val="24"/>
        </w:rPr>
      </w:pPr>
    </w:p>
    <w:p w14:paraId="7790CB45" w14:textId="77777777" w:rsidR="0010446F" w:rsidRPr="00876A27" w:rsidRDefault="0010446F" w:rsidP="0010446F">
      <w:pPr>
        <w:autoSpaceDE w:val="0"/>
        <w:autoSpaceDN w:val="0"/>
        <w:adjustRightInd w:val="0"/>
        <w:spacing w:after="0" w:line="240" w:lineRule="auto"/>
        <w:rPr>
          <w:rFonts w:ascii="Arial" w:hAnsi="Arial" w:cs="Arial"/>
          <w:b/>
          <w:bCs/>
          <w:color w:val="FFFFFF"/>
          <w:sz w:val="24"/>
          <w:szCs w:val="24"/>
        </w:rPr>
      </w:pPr>
      <w:r w:rsidRPr="00D56A7A">
        <w:rPr>
          <w:rFonts w:ascii="Arial" w:hAnsi="Arial" w:cs="Arial"/>
          <w:b/>
          <w:bCs/>
          <w:noProof/>
          <w:color w:val="FFFFFF"/>
          <w:sz w:val="24"/>
          <w:szCs w:val="24"/>
          <w:lang w:eastAsia="es-MX"/>
        </w:rPr>
        <w:drawing>
          <wp:inline distT="0" distB="0" distL="0" distR="0" wp14:anchorId="0C9966D3" wp14:editId="239C77E3">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580" cy="405385"/>
                    </a:xfrm>
                    <a:prstGeom prst="rect">
                      <a:avLst/>
                    </a:prstGeom>
                  </pic:spPr>
                </pic:pic>
              </a:graphicData>
            </a:graphic>
          </wp:inline>
        </w:drawing>
      </w:r>
      <w:r w:rsidRPr="00D56A7A">
        <w:rPr>
          <w:rFonts w:ascii="Arial" w:hAnsi="Arial" w:cs="Arial"/>
          <w:b/>
          <w:bCs/>
          <w:color w:val="FFFFFF"/>
          <w:sz w:val="24"/>
          <w:szCs w:val="24"/>
        </w:rPr>
        <w:t>Formación Académica</w:t>
      </w:r>
    </w:p>
    <w:p w14:paraId="08D32110" w14:textId="77777777" w:rsidR="00876A27" w:rsidRPr="00D53847" w:rsidRDefault="00876A27" w:rsidP="00876A27">
      <w:pPr>
        <w:pStyle w:val="Prrafodelista"/>
        <w:numPr>
          <w:ilvl w:val="0"/>
          <w:numId w:val="1"/>
        </w:numPr>
        <w:tabs>
          <w:tab w:val="left" w:pos="284"/>
        </w:tabs>
        <w:spacing w:line="276" w:lineRule="auto"/>
        <w:ind w:left="284" w:right="-802" w:hanging="284"/>
        <w:jc w:val="both"/>
        <w:rPr>
          <w:rFonts w:ascii="Arial" w:hAnsi="Arial" w:cs="Arial"/>
          <w:color w:val="0D0D0D" w:themeColor="text1" w:themeTint="F2"/>
          <w:sz w:val="20"/>
          <w:szCs w:val="22"/>
        </w:rPr>
      </w:pPr>
      <w:r w:rsidRPr="00D53847">
        <w:rPr>
          <w:rFonts w:ascii="Arial" w:hAnsi="Arial" w:cs="Arial"/>
          <w:color w:val="0D0D0D" w:themeColor="text1" w:themeTint="F2"/>
          <w:sz w:val="20"/>
          <w:szCs w:val="22"/>
        </w:rPr>
        <w:t>2005-2009 Licenciatura en Derecho por la Universidad del Golfo de México.</w:t>
      </w:r>
    </w:p>
    <w:p w14:paraId="26A81431" w14:textId="77777777" w:rsidR="00876A27" w:rsidRPr="00D53847" w:rsidRDefault="00876A27" w:rsidP="00876A27">
      <w:pPr>
        <w:pStyle w:val="Prrafodelista"/>
        <w:numPr>
          <w:ilvl w:val="0"/>
          <w:numId w:val="1"/>
        </w:numPr>
        <w:tabs>
          <w:tab w:val="left" w:pos="284"/>
          <w:tab w:val="left" w:pos="426"/>
        </w:tabs>
        <w:spacing w:line="276" w:lineRule="auto"/>
        <w:ind w:left="284" w:right="-802" w:hanging="284"/>
        <w:jc w:val="both"/>
        <w:rPr>
          <w:rFonts w:ascii="Arial" w:hAnsi="Arial" w:cs="Arial"/>
          <w:color w:val="0D0D0D" w:themeColor="text1" w:themeTint="F2"/>
          <w:sz w:val="20"/>
          <w:szCs w:val="22"/>
        </w:rPr>
      </w:pPr>
      <w:r w:rsidRPr="00D53847">
        <w:rPr>
          <w:rFonts w:ascii="Arial" w:hAnsi="Arial" w:cs="Arial"/>
          <w:color w:val="0D0D0D" w:themeColor="text1" w:themeTint="F2"/>
          <w:sz w:val="20"/>
          <w:szCs w:val="22"/>
        </w:rPr>
        <w:t>2018-2019 Pasante de la Maestría en Juicio Oral por la Universidad Interamericana para el Desarrollo(UNID), campus Tuxpan, Ver.</w:t>
      </w:r>
    </w:p>
    <w:p w14:paraId="191B6A2E" w14:textId="77777777" w:rsidR="00876A27" w:rsidRPr="00D53847" w:rsidRDefault="00876A27" w:rsidP="00876A27">
      <w:pPr>
        <w:pStyle w:val="Prrafodelista"/>
        <w:numPr>
          <w:ilvl w:val="0"/>
          <w:numId w:val="1"/>
        </w:numPr>
        <w:tabs>
          <w:tab w:val="left" w:pos="284"/>
          <w:tab w:val="left" w:pos="426"/>
          <w:tab w:val="num" w:pos="1276"/>
        </w:tabs>
        <w:spacing w:line="276" w:lineRule="auto"/>
        <w:ind w:left="284" w:right="-802" w:hanging="284"/>
        <w:jc w:val="both"/>
        <w:rPr>
          <w:rFonts w:ascii="Arial" w:hAnsi="Arial" w:cs="Arial"/>
          <w:color w:val="0D0D0D" w:themeColor="text1" w:themeTint="F2"/>
          <w:sz w:val="20"/>
          <w:szCs w:val="22"/>
        </w:rPr>
      </w:pPr>
      <w:r w:rsidRPr="00D53847">
        <w:rPr>
          <w:rFonts w:ascii="Arial" w:hAnsi="Arial" w:cs="Arial"/>
          <w:color w:val="0D0D0D" w:themeColor="text1" w:themeTint="F2"/>
          <w:sz w:val="20"/>
          <w:szCs w:val="22"/>
        </w:rPr>
        <w:t>Septiembre-diciembre 2020. Diplomado en “TEORÍA DEL DELITO Y SU APLICACIÓN EN EL PROCESO PENAL”, por la Sociedad Mexicana De Profesores De Derecho Penal Y Criminología S.C.</w:t>
      </w:r>
    </w:p>
    <w:p w14:paraId="4BC51A09" w14:textId="77777777" w:rsidR="00876A27" w:rsidRPr="00D53847" w:rsidRDefault="00876A27" w:rsidP="00876A27">
      <w:pPr>
        <w:pStyle w:val="Prrafodelista"/>
        <w:numPr>
          <w:ilvl w:val="0"/>
          <w:numId w:val="1"/>
        </w:numPr>
        <w:tabs>
          <w:tab w:val="left" w:pos="284"/>
          <w:tab w:val="left" w:pos="426"/>
          <w:tab w:val="num" w:pos="1276"/>
        </w:tabs>
        <w:spacing w:line="276" w:lineRule="auto"/>
        <w:ind w:left="284" w:right="-802" w:hanging="284"/>
        <w:jc w:val="both"/>
        <w:rPr>
          <w:rFonts w:ascii="Arial" w:hAnsi="Arial" w:cs="Arial"/>
          <w:color w:val="0D0D0D" w:themeColor="text1" w:themeTint="F2"/>
          <w:sz w:val="20"/>
          <w:szCs w:val="22"/>
        </w:rPr>
      </w:pPr>
      <w:r w:rsidRPr="00D53847">
        <w:rPr>
          <w:rFonts w:ascii="Arial" w:hAnsi="Arial" w:cs="Arial"/>
          <w:color w:val="0D0D0D" w:themeColor="text1" w:themeTint="F2"/>
          <w:sz w:val="20"/>
          <w:szCs w:val="22"/>
        </w:rPr>
        <w:t>Julio 2022. Diplomado “JUICIO DE AMPARO”, por la Suprema Corte de Justicia de la Nación.</w:t>
      </w:r>
    </w:p>
    <w:p w14:paraId="6384B55E" w14:textId="77777777" w:rsidR="00B22B13" w:rsidRPr="00876A27" w:rsidRDefault="00876A27" w:rsidP="00876A27">
      <w:pPr>
        <w:pStyle w:val="Prrafodelista"/>
        <w:numPr>
          <w:ilvl w:val="0"/>
          <w:numId w:val="1"/>
        </w:numPr>
        <w:tabs>
          <w:tab w:val="left" w:pos="0"/>
          <w:tab w:val="left" w:pos="426"/>
          <w:tab w:val="num" w:pos="1276"/>
        </w:tabs>
        <w:spacing w:line="276" w:lineRule="auto"/>
        <w:ind w:left="284" w:right="-802" w:hanging="284"/>
        <w:jc w:val="both"/>
        <w:rPr>
          <w:rFonts w:ascii="Arial" w:hAnsi="Arial" w:cs="Arial"/>
          <w:color w:val="171717" w:themeColor="background2" w:themeShade="1A"/>
          <w:sz w:val="20"/>
          <w:szCs w:val="22"/>
        </w:rPr>
      </w:pPr>
      <w:r w:rsidRPr="00D53847">
        <w:rPr>
          <w:rFonts w:ascii="Arial" w:hAnsi="Arial" w:cs="Arial"/>
          <w:color w:val="0D0D0D" w:themeColor="text1" w:themeTint="F2"/>
          <w:sz w:val="20"/>
          <w:szCs w:val="22"/>
        </w:rPr>
        <w:t>Diciembre 2022. Diplomado “LA SUPREMA CORTE Y LOS DERECHOS HUMANOS 2022”, por la Suprema Corte de Justicia de la Nación</w:t>
      </w:r>
      <w:r w:rsidRPr="00876A27">
        <w:rPr>
          <w:rFonts w:ascii="Arial" w:hAnsi="Arial" w:cs="Arial"/>
          <w:color w:val="171717" w:themeColor="background2" w:themeShade="1A"/>
          <w:sz w:val="20"/>
          <w:szCs w:val="22"/>
        </w:rPr>
        <w:t>.</w:t>
      </w:r>
    </w:p>
    <w:p w14:paraId="752EB8C7" w14:textId="77777777" w:rsidR="0010446F" w:rsidRPr="00D56A7A" w:rsidRDefault="0010446F" w:rsidP="0010446F">
      <w:pPr>
        <w:autoSpaceDE w:val="0"/>
        <w:autoSpaceDN w:val="0"/>
        <w:adjustRightInd w:val="0"/>
        <w:spacing w:after="0" w:line="240" w:lineRule="auto"/>
        <w:rPr>
          <w:rFonts w:ascii="Arial" w:hAnsi="Arial" w:cs="Arial"/>
          <w:b/>
          <w:bCs/>
          <w:color w:val="FFFFFF"/>
          <w:sz w:val="24"/>
          <w:szCs w:val="24"/>
        </w:rPr>
      </w:pPr>
    </w:p>
    <w:p w14:paraId="1C739E22" w14:textId="77777777" w:rsidR="0010446F" w:rsidRPr="00D56A7A" w:rsidRDefault="0010446F" w:rsidP="0010446F">
      <w:pPr>
        <w:autoSpaceDE w:val="0"/>
        <w:autoSpaceDN w:val="0"/>
        <w:adjustRightInd w:val="0"/>
        <w:spacing w:after="0" w:line="240" w:lineRule="auto"/>
        <w:rPr>
          <w:rFonts w:ascii="Arial" w:hAnsi="Arial" w:cs="Arial"/>
          <w:b/>
          <w:bCs/>
          <w:color w:val="FFFFFF"/>
          <w:sz w:val="24"/>
          <w:szCs w:val="24"/>
        </w:rPr>
      </w:pPr>
      <w:r w:rsidRPr="00D56A7A">
        <w:rPr>
          <w:rFonts w:ascii="Arial" w:hAnsi="Arial" w:cs="Arial"/>
          <w:b/>
          <w:bCs/>
          <w:noProof/>
          <w:color w:val="FFFFFF"/>
          <w:sz w:val="24"/>
          <w:szCs w:val="24"/>
          <w:lang w:eastAsia="es-MX"/>
        </w:rPr>
        <w:drawing>
          <wp:inline distT="0" distB="0" distL="0" distR="0" wp14:anchorId="4D9ADDB6" wp14:editId="1FC354E4">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5588" cy="259081"/>
                    </a:xfrm>
                    <a:prstGeom prst="rect">
                      <a:avLst/>
                    </a:prstGeom>
                  </pic:spPr>
                </pic:pic>
              </a:graphicData>
            </a:graphic>
          </wp:inline>
        </w:drawing>
      </w:r>
      <w:r w:rsidRPr="00D56A7A">
        <w:rPr>
          <w:rFonts w:ascii="Arial" w:hAnsi="Arial" w:cs="Arial"/>
          <w:b/>
          <w:bCs/>
          <w:color w:val="FFFFFF"/>
          <w:sz w:val="24"/>
          <w:szCs w:val="24"/>
        </w:rPr>
        <w:t>Trayectoria Profesional</w:t>
      </w:r>
    </w:p>
    <w:p w14:paraId="1A86514D" w14:textId="77777777" w:rsidR="0010446F" w:rsidRPr="00D56A7A" w:rsidRDefault="0010446F" w:rsidP="0010446F">
      <w:pPr>
        <w:pStyle w:val="Sinespaciado"/>
        <w:jc w:val="both"/>
        <w:rPr>
          <w:rFonts w:ascii="Arial" w:hAnsi="Arial" w:cs="Arial"/>
          <w:b/>
          <w:color w:val="404040" w:themeColor="text1" w:themeTint="BF"/>
          <w:sz w:val="20"/>
        </w:rPr>
      </w:pPr>
    </w:p>
    <w:p w14:paraId="2DE9AD5F" w14:textId="77777777" w:rsidR="0010446F" w:rsidRPr="00876A27" w:rsidRDefault="00876A27" w:rsidP="00876A27">
      <w:pPr>
        <w:tabs>
          <w:tab w:val="left" w:pos="284"/>
        </w:tabs>
        <w:spacing w:after="120"/>
        <w:ind w:right="-802"/>
        <w:jc w:val="both"/>
        <w:rPr>
          <w:rFonts w:ascii="Arial" w:hAnsi="Arial" w:cs="Arial"/>
          <w:color w:val="171717" w:themeColor="background2" w:themeShade="1A"/>
          <w:sz w:val="20"/>
        </w:rPr>
      </w:pPr>
      <w:r w:rsidRPr="00876A27">
        <w:rPr>
          <w:rFonts w:ascii="Arial" w:hAnsi="Arial" w:cs="Arial"/>
          <w:color w:val="171717" w:themeColor="background2" w:themeShade="1A"/>
          <w:sz w:val="20"/>
        </w:rPr>
        <w:t>Policía de investigación de campo operativa en la Unidad Especializada en Combate al Secuestro, sede Tuxpan, Ver., del 14 de noviembre del año 2016 al 23 de mayo del 2019. Policía de investigación de campo operativa en la Unidad Especializada en combate al Secuestro con sede en Xalapa, Ver., del 24 de mayo de 2019 al 14 de enero de 2020. Policía de investigación de campo operativa en la Unidad Especializada en Combate al Secuestro con sede en Tuxpan, Ver., del 15 de enero de 2020 al 06 de julio del 2023. Fiscal Especializada de la Unidad Especializada en Combate al Secuestro, del 07 de julio del 2023 a la fecha.</w:t>
      </w:r>
    </w:p>
    <w:p w14:paraId="78ACEA67" w14:textId="77777777" w:rsidR="0010446F" w:rsidRPr="00876A27" w:rsidRDefault="0010446F" w:rsidP="00876A27">
      <w:pPr>
        <w:autoSpaceDE w:val="0"/>
        <w:autoSpaceDN w:val="0"/>
        <w:adjustRightInd w:val="0"/>
        <w:spacing w:after="0" w:line="240" w:lineRule="auto"/>
        <w:ind w:right="-802"/>
        <w:rPr>
          <w:rFonts w:ascii="Arial" w:hAnsi="Arial" w:cs="Arial"/>
          <w:b/>
          <w:bCs/>
          <w:color w:val="FFFFFF"/>
          <w:szCs w:val="24"/>
        </w:rPr>
      </w:pPr>
      <w:r w:rsidRPr="00876A27">
        <w:rPr>
          <w:rFonts w:ascii="Arial" w:hAnsi="Arial" w:cs="Arial"/>
          <w:b/>
          <w:bCs/>
          <w:noProof/>
          <w:color w:val="FFFFFF"/>
          <w:szCs w:val="24"/>
          <w:lang w:eastAsia="es-MX"/>
        </w:rPr>
        <w:drawing>
          <wp:inline distT="0" distB="0" distL="0" distR="0" wp14:anchorId="14644D93" wp14:editId="7949D027">
            <wp:extent cx="2005588" cy="259081"/>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5588" cy="259081"/>
                    </a:xfrm>
                    <a:prstGeom prst="rect">
                      <a:avLst/>
                    </a:prstGeom>
                  </pic:spPr>
                </pic:pic>
              </a:graphicData>
            </a:graphic>
          </wp:inline>
        </w:drawing>
      </w:r>
    </w:p>
    <w:p w14:paraId="1CA969E8" w14:textId="77777777" w:rsidR="00CE3422" w:rsidRPr="0010446F" w:rsidRDefault="00876A27" w:rsidP="00876A27">
      <w:pPr>
        <w:tabs>
          <w:tab w:val="left" w:pos="284"/>
        </w:tabs>
        <w:spacing w:after="120"/>
        <w:ind w:right="-802"/>
        <w:jc w:val="both"/>
        <w:rPr>
          <w:rFonts w:ascii="Arial" w:hAnsi="Arial" w:cs="Arial"/>
        </w:rPr>
      </w:pPr>
      <w:r w:rsidRPr="00876A27">
        <w:rPr>
          <w:rFonts w:ascii="Arial" w:hAnsi="Arial" w:cs="Arial"/>
          <w:color w:val="171717" w:themeColor="background2" w:themeShade="1A"/>
          <w:sz w:val="20"/>
        </w:rPr>
        <w:t xml:space="preserve">Derecho penal, procesal penal, sistema de justicia penal acusatorio, técnicas de litigación oral, uso de la prueba (circunstancial, indiciaria y presuntiva), juicio de amparo, derechos humanos y perspectiva de género, derechos humanos como herramienta para la prevención e investigación de la tortura, investigación del delito de secuestro, registro nacional de detenciones, cadena de custodia, Ley nacional sobre el uso de la fuerza, protocolo del primer respondiente, protocolo del policía con capacidades para procesar, criminalística y criminología. </w:t>
      </w:r>
    </w:p>
    <w:sectPr w:rsidR="00CE3422" w:rsidRPr="0010446F"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D501" w14:textId="77777777" w:rsidR="00F614F8" w:rsidRDefault="00F614F8">
      <w:pPr>
        <w:spacing w:after="0" w:line="240" w:lineRule="auto"/>
      </w:pPr>
      <w:r>
        <w:separator/>
      </w:r>
    </w:p>
  </w:endnote>
  <w:endnote w:type="continuationSeparator" w:id="0">
    <w:p w14:paraId="22135404" w14:textId="77777777" w:rsidR="00F614F8" w:rsidRDefault="00F6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A7F" w14:textId="77777777" w:rsidR="00000000" w:rsidRDefault="0010446F">
    <w:pPr>
      <w:pStyle w:val="Piedepgina"/>
    </w:pPr>
    <w:r>
      <w:rPr>
        <w:noProof/>
        <w:lang w:eastAsia="es-MX"/>
      </w:rPr>
      <w:drawing>
        <wp:anchor distT="0" distB="0" distL="114300" distR="114300" simplePos="0" relativeHeight="251660288" behindDoc="0" locked="0" layoutInCell="1" allowOverlap="1" wp14:anchorId="7217ECAD" wp14:editId="1ADF8FA7">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C899" w14:textId="77777777" w:rsidR="00F614F8" w:rsidRDefault="00F614F8">
      <w:pPr>
        <w:spacing w:after="0" w:line="240" w:lineRule="auto"/>
      </w:pPr>
      <w:r>
        <w:separator/>
      </w:r>
    </w:p>
  </w:footnote>
  <w:footnote w:type="continuationSeparator" w:id="0">
    <w:p w14:paraId="6E77B65C" w14:textId="77777777" w:rsidR="00F614F8" w:rsidRDefault="00F6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7D61" w14:textId="77777777" w:rsidR="00000000" w:rsidRDefault="0010446F">
    <w:pPr>
      <w:pStyle w:val="Encabezado"/>
    </w:pPr>
    <w:r>
      <w:rPr>
        <w:noProof/>
        <w:lang w:eastAsia="es-MX"/>
      </w:rPr>
      <w:drawing>
        <wp:anchor distT="0" distB="0" distL="114300" distR="114300" simplePos="0" relativeHeight="251659264" behindDoc="0" locked="0" layoutInCell="1" allowOverlap="1" wp14:anchorId="4D888362" wp14:editId="09252C0F">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B6A20"/>
    <w:multiLevelType w:val="hybridMultilevel"/>
    <w:tmpl w:val="40D44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897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6F"/>
    <w:rsid w:val="0010446F"/>
    <w:rsid w:val="0045201E"/>
    <w:rsid w:val="00876A27"/>
    <w:rsid w:val="00926BC1"/>
    <w:rsid w:val="00B22B13"/>
    <w:rsid w:val="00B66643"/>
    <w:rsid w:val="00BF1549"/>
    <w:rsid w:val="00CE3422"/>
    <w:rsid w:val="00D53847"/>
    <w:rsid w:val="00F614F8"/>
    <w:rsid w:val="00FD5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A825"/>
  <w15:chartTrackingRefBased/>
  <w15:docId w15:val="{381288F7-C4CF-4DDF-9EE3-C73A5BE8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44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446F"/>
  </w:style>
  <w:style w:type="paragraph" w:styleId="Piedepgina">
    <w:name w:val="footer"/>
    <w:basedOn w:val="Normal"/>
    <w:link w:val="PiedepginaCar"/>
    <w:uiPriority w:val="99"/>
    <w:unhideWhenUsed/>
    <w:rsid w:val="001044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46F"/>
  </w:style>
  <w:style w:type="paragraph" w:styleId="Sinespaciado">
    <w:name w:val="No Spacing"/>
    <w:uiPriority w:val="1"/>
    <w:qFormat/>
    <w:rsid w:val="0010446F"/>
    <w:pPr>
      <w:spacing w:after="0" w:line="240" w:lineRule="auto"/>
    </w:pPr>
  </w:style>
  <w:style w:type="character" w:styleId="Hipervnculo">
    <w:name w:val="Hyperlink"/>
    <w:basedOn w:val="Fuentedeprrafopredeter"/>
    <w:uiPriority w:val="99"/>
    <w:unhideWhenUsed/>
    <w:rsid w:val="0010446F"/>
    <w:rPr>
      <w:color w:val="0563C1" w:themeColor="hyperlink"/>
      <w:u w:val="single"/>
    </w:rPr>
  </w:style>
  <w:style w:type="paragraph" w:styleId="Prrafodelista">
    <w:name w:val="List Paragraph"/>
    <w:basedOn w:val="Normal"/>
    <w:uiPriority w:val="34"/>
    <w:qFormat/>
    <w:rsid w:val="00876A27"/>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FGE</dc:creator>
  <cp:keywords/>
  <dc:description/>
  <cp:lastModifiedBy>Fiscalía General del Estado de Veracruz</cp:lastModifiedBy>
  <cp:revision>2</cp:revision>
  <dcterms:created xsi:type="dcterms:W3CDTF">2023-09-28T17:15:00Z</dcterms:created>
  <dcterms:modified xsi:type="dcterms:W3CDTF">2023-09-28T17:15:00Z</dcterms:modified>
</cp:coreProperties>
</file>